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102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820"/>
        <w:gridCol w:w="1565"/>
        <w:gridCol w:w="2685"/>
        <w:gridCol w:w="3218"/>
        <w:gridCol w:w="2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0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10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</w:rPr>
              <w:t>（</w:t>
            </w:r>
            <w:r>
              <w:rPr>
                <w:rStyle w:val="4"/>
              </w:rPr>
              <w:t>2026</w:t>
            </w:r>
            <w:r>
              <w:rPr>
                <w:rStyle w:val="5"/>
                <w:rFonts w:hint="eastAsia" w:ascii="Times New Roman" w:hAnsi="Times New Roman" w:cs="Times New Roman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5747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30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9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法律援助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30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79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攀枝花市仁和区法律服务中心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306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306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其中：财政拨款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306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其他资金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103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.办理法律援助案件500件，办理法律咨询、代写法律文书等其他法律援助事项1500人次；2.派驻仁和区人民检察院、仁和区综治中心、区退役军人公共法律服务工作站、区人社局公共法律服务（法律援助）工作站值班律师。3.做好法律援助宣传工作，扩大法律援助社会知晓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156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办案补贴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办理法律援助案件300余件，办理其他法律援助事项1500余人次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值班补贴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派驻值班律师400余人次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宣传经费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印制法律援助宣传品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提升法律援助服务质量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法律援助案卷质量均为合格以上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年度计划推进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2026年1月至2026年12月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5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支付办案补贴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刑事案件补贴标准。按照《攀枝花市司法局   攀枝花市财政局关于印发&lt;攀枝花市法律援助补贴办法&gt;的通知》《攀枝花市仁和区法律援助中心法律援助事项补贴细化标准》标准执行1万元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支付代书补贴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代拟法律文书、出具法律意见书。按照《攀枝花市司法局   攀枝花市财政局关于印发&lt;攀枝花市法律援助补贴办法&gt;的通知》《攀枝花市仁和区法律援助中心法律援助事项补贴细化标准》标准执行0.2万元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支付律师值班补贴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法律帮助值班补贴标准。按照《攀枝花市司法局   攀枝花市财政局关于印发&lt;攀枝花市法律援助补贴办法&gt;的通知》《攀枝花市仁和区法律援助中心法律援助事项补贴细化标准》标准执行0.5万元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支付宣传费用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宣传物料费用0.3万元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维护社会稳定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保障公民和有关当事人的合法权益，维护社会公平正义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群众满意度</w:t>
            </w:r>
          </w:p>
        </w:tc>
        <w:tc>
          <w:tcPr>
            <w:tcW w:w="5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96%</w:t>
            </w:r>
          </w:p>
        </w:tc>
      </w:tr>
    </w:tbl>
    <w:p>
      <w:r>
        <w:br w:type="page"/>
      </w:r>
    </w:p>
    <w:tbl>
      <w:tblPr>
        <w:tblStyle w:val="2"/>
        <w:tblW w:w="10830" w:type="dxa"/>
        <w:tblInd w:w="2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58"/>
        <w:gridCol w:w="660"/>
        <w:gridCol w:w="4080"/>
        <w:gridCol w:w="48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08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pacing w:val="-2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9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项目名称</w:t>
            </w:r>
          </w:p>
        </w:tc>
        <w:tc>
          <w:tcPr>
            <w:tcW w:w="8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“八五”普法工作经费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9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预算单位</w:t>
            </w:r>
          </w:p>
        </w:tc>
        <w:tc>
          <w:tcPr>
            <w:tcW w:w="8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攀枝花市仁和区司法局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94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项目资金</w:t>
            </w:r>
            <w:r>
              <w:rPr>
                <w:rFonts w:ascii="宋体" w:cs="宋体"/>
                <w:color w:val="000000"/>
                <w:spacing w:val="-2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（万元）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年度资金总额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: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9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其中：财政拨款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194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其他资金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FF0000"/>
                <w:spacing w:val="-2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3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总</w:t>
            </w:r>
            <w:r>
              <w:rPr>
                <w:rFonts w:ascii="宋体" w:cs="宋体"/>
                <w:color w:val="000000"/>
                <w:spacing w:val="-2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体</w:t>
            </w:r>
            <w:r>
              <w:rPr>
                <w:rFonts w:ascii="宋体" w:cs="宋体"/>
                <w:color w:val="000000"/>
                <w:spacing w:val="-2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目</w:t>
            </w:r>
            <w:r>
              <w:rPr>
                <w:rFonts w:ascii="宋体" w:cs="宋体"/>
                <w:color w:val="000000"/>
                <w:spacing w:val="-2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标</w:t>
            </w:r>
          </w:p>
        </w:tc>
        <w:tc>
          <w:tcPr>
            <w:tcW w:w="10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top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提高全民法律素质，推进依法治国基本方略实施，建设社会主义法治国家，必须加强领导干部、公务员、青少年、企业经营管理人员和农民的法治宣传教育，其中司法和行政执法人员，特别是领导干部是普法的重中之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绩效指标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一级</w:t>
            </w:r>
            <w:r>
              <w:rPr>
                <w:rFonts w:ascii="宋体" w:cs="宋体"/>
                <w:color w:val="000000"/>
                <w:spacing w:val="-2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指标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二级指标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三级指标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数量指标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普法宣传培训费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开展普法联络员及普法骨干培训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次，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300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人；开展法律明白人集中培训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次，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415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普法宣传印刷费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印刷普法读物用品书籍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万本，宣传资料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万份，宣传册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万份，展板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开展公民法治素养提升活动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设立公民法治素养观测点，组织开展法治讲座、法律服务等实践活动，打造法治素养实践基地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修缮法治文化主题公园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维护、修缮硬件设施，更新普法内容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做好“八五”普法总结表扬，“九五”普法启动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对“八五”普法先进集体、个人进行表扬，调研起草“九五”普法规划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质量指标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持续推进“法治仁和”建设，全面提高全社会法治化管理水平，促进我区经济、政治、文化和社会各项事业健康、有序、可持续发展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普法培训合格率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90%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研究启动“九五”普法规划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确保“九五”普法规划启动实施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时效指标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2026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年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2026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月至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2026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成本指标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普法工作培训费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开展普法联络员及普法骨干培训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次（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300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人），开展法律明白人集中培训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次（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415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人），合计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0.5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普法宣传印刷费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印刷普法读物用品书籍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佰本，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本共计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0.5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万元；宣传资料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佰份，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份共计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0.1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万元；宣传册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仟份，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份共计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0.3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万元；展板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个，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1000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个共计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0.1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万元，合计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开展公民法治素养提升活动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设立公民法治素养观测点，打造法治素养实践基地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0.5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万元，开展法治文艺活动、法律服务等实践活动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0.2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万元，合计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0.7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修缮法治文化主题公园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0.5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做好“九五”普法规划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召开相关部门会议，研究“九五”规划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0.3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项目效益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社会效益</w:t>
            </w:r>
            <w:r>
              <w:rPr>
                <w:rFonts w:ascii="宋体" w:cs="宋体"/>
                <w:color w:val="000000"/>
                <w:spacing w:val="-2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指标</w:t>
            </w:r>
          </w:p>
        </w:tc>
        <w:tc>
          <w:tcPr>
            <w:tcW w:w="4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形成公民自觉敬法、学法、守法、用法的社会环境</w:t>
            </w:r>
          </w:p>
        </w:tc>
        <w:tc>
          <w:tcPr>
            <w:tcW w:w="48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形成公民自觉敬法、学法、守法、用法的社会环境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8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48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宋体" w:cs="宋体"/>
                <w:color w:val="000000"/>
                <w:spacing w:val="-20"/>
                <w:sz w:val="24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满意度指标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满意度指标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公民满意度</w:t>
            </w:r>
          </w:p>
        </w:tc>
        <w:tc>
          <w:tcPr>
            <w:tcW w:w="4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公民满意度≥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90%</w:t>
            </w: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</w:rPr>
              <w:t>；项目主管部门≥</w:t>
            </w:r>
            <w:r>
              <w:rPr>
                <w:rFonts w:ascii="宋体" w:hAnsi="宋体" w:cs="宋体"/>
                <w:color w:val="000000"/>
                <w:spacing w:val="-20"/>
                <w:kern w:val="0"/>
                <w:sz w:val="24"/>
              </w:rPr>
              <w:t>90%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</w:pPr>
      <w:r>
        <w:br w:type="page"/>
      </w:r>
    </w:p>
    <w:tbl>
      <w:tblPr>
        <w:tblStyle w:val="2"/>
        <w:tblW w:w="10920" w:type="dxa"/>
        <w:tblInd w:w="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05"/>
        <w:gridCol w:w="905"/>
        <w:gridCol w:w="2173"/>
        <w:gridCol w:w="62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09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094" w:firstLineChars="1100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09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</w:rPr>
              <w:t>（2026年度）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24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法治政府建设经费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24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8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攀枝花市仁和区司法局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247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 xml:space="preserve"> 年度资金总额: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247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 xml:space="preserve">       其中：财政拨款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247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 xml:space="preserve">             其他资金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pacing w:val="-2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8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体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目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标</w:t>
            </w:r>
          </w:p>
        </w:tc>
        <w:tc>
          <w:tcPr>
            <w:tcW w:w="102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完成市委依法治市对仁和区法治政府建设工作年度目标考核任务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指标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项目完成</w:t>
            </w:r>
          </w:p>
        </w:tc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人员培训经费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截止2025年11月7日，仁和区已取得执法证及通过法律知识培训约700人、行政执法监督人员、法制审核人员20余人，每人每年接受不少于60学时的公共法律知识、业务知识和行政执法技能培训，以每人100余元的培训经费估算，预计需0.2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法律顾问工作经费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区委、区政府、区政协、区人大法律顾问聘请经费，暂定聘请一家律师事务所，预计需9万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行政复议工作经费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仁和区人民政府行政复议办公室日常工作需要，包括办公用品、设备设施、耗材费、宣传资料，共预计0.2万元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行政诉讼工作经费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行政诉讼案件诉讼费用（含代理费），暂估每年20件，每件行政诉讼案件成本，合计0.6万元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执法人员培训课时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≥60个课时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法律顾问意见书次数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≥40次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行政诉讼案件代理率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2026年</w:t>
            </w:r>
          </w:p>
        </w:tc>
        <w:tc>
          <w:tcPr>
            <w:tcW w:w="62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2026年1月-12月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62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人员培训经费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0.2万元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法律顾问工作经费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行政复议工作经费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0.2万元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行政诉讼工作经费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0.6万元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社会效益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指标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公正文明执法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提高行政执法人员、监督人员素质、提高行政执法效能，促进依法行政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提升行政决策合法性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严格履行重大行政决策合法性审查程序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依法履行行政应诉职责</w:t>
            </w:r>
          </w:p>
        </w:tc>
        <w:tc>
          <w:tcPr>
            <w:tcW w:w="6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加强行政应诉能力，提高行政应诉案件质量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公民满意度</w:t>
            </w:r>
          </w:p>
        </w:tc>
        <w:tc>
          <w:tcPr>
            <w:tcW w:w="62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0"/>
                <w:sz w:val="24"/>
                <w:szCs w:val="24"/>
              </w:rPr>
              <w:t>≥90%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62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</w:p>
        </w:tc>
      </w:tr>
    </w:tbl>
    <w:p>
      <w:r>
        <w:rPr>
          <w:rFonts w:hint="eastAsia" w:ascii="宋体" w:hAnsi="宋体" w:eastAsia="宋体" w:cs="宋体"/>
          <w:sz w:val="24"/>
          <w:szCs w:val="24"/>
        </w:rPr>
        <w:br w:type="page"/>
      </w:r>
    </w:p>
    <w:tbl>
      <w:tblPr>
        <w:tblStyle w:val="2"/>
        <w:tblW w:w="10575" w:type="dxa"/>
        <w:tblInd w:w="4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945"/>
        <w:gridCol w:w="1530"/>
        <w:gridCol w:w="2880"/>
        <w:gridCol w:w="4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5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5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Style w:val="7"/>
              </w:rPr>
              <w:t>2026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社区矫正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7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攀枝花市仁和区司法局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89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年度资金总额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8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其中：财政拨款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101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提高教育矫正质量，加强对矫正对象的监督管理，使所判刑罚得到有效执行，确保社区矫正对象不失控、不漏管，力争减少或杜绝重新犯罪，将社区矫正对象重新犯罪率控制在千分之二，有效地维护社会稳定。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社区矫正信息平台使用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个社区调查评估，对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个司法所进行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次执法检查，完成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180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名社区矫正对象监督管理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司法所工作人员业务培训</w:t>
            </w:r>
          </w:p>
        </w:tc>
        <w:tc>
          <w:tcPr>
            <w:tcW w:w="4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个司法所工作人员开展不低于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业务培训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将社区矫正对象重新犯罪率控制在千分之二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将社区矫正对象重新犯罪率控制在千分之二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按工作计划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2026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月至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2026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社区矫正指导管理费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个司法所人员培训经费、宣传经费、表彰奖励费用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0.5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社区矫正工作经费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名社区矫正对象每人每年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1400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元，共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社区矫正设备费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个司法所办公设备维修（护）、网络使用费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维护社会和谐稳定</w:t>
            </w:r>
          </w:p>
        </w:tc>
        <w:tc>
          <w:tcPr>
            <w:tcW w:w="4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取得良好的政治、法律和社会效果，有效地维护社会稳定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群众满意度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主管部门满意度≥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90%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；辖区群众满意度≥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90%</w:t>
            </w:r>
          </w:p>
        </w:tc>
      </w:tr>
    </w:tbl>
    <w:p>
      <w:r>
        <w:br w:type="page"/>
      </w:r>
    </w:p>
    <w:tbl>
      <w:tblPr>
        <w:tblStyle w:val="2"/>
        <w:tblW w:w="10185" w:type="dxa"/>
        <w:tblInd w:w="4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983"/>
        <w:gridCol w:w="997"/>
        <w:gridCol w:w="2115"/>
        <w:gridCol w:w="3648"/>
        <w:gridCol w:w="19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1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1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（2026年度）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人民调解工作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7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攀枝花市仁和区司法局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46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项目资金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25.50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4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 xml:space="preserve">      其中：财政拨款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25.50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4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 xml:space="preserve">           其他资金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FF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总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体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目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标</w:t>
            </w:r>
          </w:p>
        </w:tc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加强全区人民调解组织建设，配齐配强人民调解队伍，实现人民调解工作全覆盖，矛盾纠纷调解率达100%，人民调解成功率96%。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一级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人民调解员培训费、办案补贴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实现调解工作全覆盖，筑牢维护社会稳定的第一道防线，矛盾纠纷调解率达100%，人民调解成功率96%。举办培训班2期，培训学员500余人次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提升调解人员业务水平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培训合格率95%以上，案件验收通过率100%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按工作计划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2026年1月至2026年12月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支付调解案件补贴费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案件补贴平均50元-1000元/件，共24万元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人民调解员培训费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人民调解员培训费用0.5万元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人民调解宣传资料印刷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印刷费1万元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社会效益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维护社会和谐稳定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把矛盾纠纷化解在基层，化解在本地本部门，化解在萌芽状态，确保社会和谐稳定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可持续影响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维护社会和谐稳定</w:t>
            </w:r>
          </w:p>
        </w:tc>
        <w:tc>
          <w:tcPr>
            <w:tcW w:w="5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把矛盾纠纷化解在基层，化解在本地本部门，化解在萌芽状态，确保社会和谐稳定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9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群众满意度</w:t>
            </w:r>
          </w:p>
        </w:tc>
        <w:tc>
          <w:tcPr>
            <w:tcW w:w="56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4"/>
              </w:rPr>
              <w:t>≥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  <w:t>98%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6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</w:tbl>
    <w:p/>
    <w:sectPr>
      <w:pgSz w:w="11906" w:h="16838"/>
      <w:pgMar w:top="283" w:right="283" w:bottom="283" w:left="28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784B"/>
    <w:rsid w:val="00071C5D"/>
    <w:rsid w:val="001543AE"/>
    <w:rsid w:val="00202C1D"/>
    <w:rsid w:val="00251D61"/>
    <w:rsid w:val="00344225"/>
    <w:rsid w:val="00470D8F"/>
    <w:rsid w:val="00535675"/>
    <w:rsid w:val="005D78DA"/>
    <w:rsid w:val="0077355E"/>
    <w:rsid w:val="008026B9"/>
    <w:rsid w:val="0087551F"/>
    <w:rsid w:val="00C97DF5"/>
    <w:rsid w:val="00D0212E"/>
    <w:rsid w:val="00E955AA"/>
    <w:rsid w:val="00ED784B"/>
    <w:rsid w:val="00F63022"/>
    <w:rsid w:val="02976CA2"/>
    <w:rsid w:val="030C38AE"/>
    <w:rsid w:val="07DA5F10"/>
    <w:rsid w:val="160B6E8F"/>
    <w:rsid w:val="1D9F4A48"/>
    <w:rsid w:val="1F735DDE"/>
    <w:rsid w:val="214A3C25"/>
    <w:rsid w:val="257042D5"/>
    <w:rsid w:val="327F1C79"/>
    <w:rsid w:val="32C03140"/>
    <w:rsid w:val="3D9E769D"/>
    <w:rsid w:val="3E011CAB"/>
    <w:rsid w:val="48FE3D7A"/>
    <w:rsid w:val="4A6F20BE"/>
    <w:rsid w:val="4DDC1656"/>
    <w:rsid w:val="5013241F"/>
    <w:rsid w:val="52442787"/>
    <w:rsid w:val="5D39479C"/>
    <w:rsid w:val="60A876F9"/>
    <w:rsid w:val="63C5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99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99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31"/>
    <w:basedOn w:val="3"/>
    <w:qFormat/>
    <w:uiPriority w:val="99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11"/>
    <w:basedOn w:val="3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622</Words>
  <Characters>3550</Characters>
  <Lines>0</Lines>
  <Paragraphs>0</Paragraphs>
  <TotalTime>21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2025-11-26T08:40:00Z</dcterms:created>
  <dc:creator>Administrator</dc:creator>
  <cp:lastModifiedBy>刘芸</cp:lastModifiedBy>
  <dcterms:modified xsi:type="dcterms:W3CDTF">2026-01-21T09:32:50Z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B7D7BB7DC7774940967CA48D60E1A743_12</vt:lpwstr>
  </property>
  <property fmtid="{D5CDD505-2E9C-101B-9397-08002B2CF9AE}" pid="4" name="KSOTemplateDocerSaveRecord">
    <vt:lpwstr>eyJoZGlkIjoiNGM5NTI5ZTBhYzAzZGU4MzIzYWIzNGU3OTI2MDFhYTIiLCJ1c2VySWQiOiIxNjQ4NTE4MTExIn0=</vt:lpwstr>
  </property>
</Properties>
</file>